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90" w:rsidRDefault="00656290" w:rsidP="00656290">
      <w:pPr>
        <w:spacing w:beforeLines="100" w:before="312" w:line="420" w:lineRule="exact"/>
        <w:jc w:val="center"/>
        <w:rPr>
          <w:rFonts w:ascii="方正小标宋简体" w:eastAsia="方正小标宋简体" w:hAnsi="宋体" w:hint="eastAsia"/>
          <w:bCs/>
          <w:color w:val="000000"/>
          <w:sz w:val="36"/>
          <w:szCs w:val="36"/>
        </w:rPr>
      </w:pPr>
      <w:bookmarkStart w:id="0" w:name="_Toc20592"/>
      <w:r>
        <w:rPr>
          <w:rStyle w:val="10"/>
          <w:rFonts w:hint="eastAsia"/>
          <w:sz w:val="36"/>
          <w:szCs w:val="36"/>
        </w:rPr>
        <w:t>杭州电子科技大学低值品、易耗品和材料管理办法</w:t>
      </w:r>
      <w:bookmarkEnd w:id="0"/>
    </w:p>
    <w:p w:rsidR="00656290" w:rsidRDefault="00656290" w:rsidP="00656290">
      <w:pPr>
        <w:spacing w:line="600" w:lineRule="exact"/>
        <w:jc w:val="center"/>
        <w:rPr>
          <w:rFonts w:ascii="仿宋_GB2312" w:eastAsia="仿宋_GB2312" w:hint="eastAsia"/>
          <w:bCs/>
          <w:sz w:val="28"/>
          <w:szCs w:val="28"/>
        </w:rPr>
      </w:pPr>
      <w:proofErr w:type="gramStart"/>
      <w:r>
        <w:rPr>
          <w:rFonts w:ascii="仿宋_GB2312" w:eastAsia="仿宋_GB2312" w:hint="eastAsia"/>
          <w:bCs/>
          <w:sz w:val="28"/>
          <w:szCs w:val="28"/>
        </w:rPr>
        <w:t>杭电实</w:t>
      </w:r>
      <w:proofErr w:type="gramEnd"/>
      <w:r>
        <w:rPr>
          <w:rFonts w:ascii="仿宋_GB2312" w:eastAsia="仿宋_GB2312" w:hint="eastAsia"/>
          <w:bCs/>
          <w:sz w:val="28"/>
          <w:szCs w:val="28"/>
        </w:rPr>
        <w:t>【2013】216号</w:t>
      </w:r>
    </w:p>
    <w:p w:rsidR="00656290" w:rsidRDefault="00656290" w:rsidP="00656290">
      <w:pPr>
        <w:spacing w:line="440" w:lineRule="exact"/>
        <w:jc w:val="center"/>
        <w:rPr>
          <w:rFonts w:ascii="黑体" w:eastAsia="黑体" w:hAnsi="宋体" w:hint="eastAsia"/>
          <w:bCs/>
          <w:color w:val="000000"/>
          <w:sz w:val="28"/>
          <w:szCs w:val="28"/>
        </w:rPr>
      </w:pPr>
    </w:p>
    <w:p w:rsidR="00656290" w:rsidRDefault="00656290" w:rsidP="00656290">
      <w:pPr>
        <w:spacing w:afterLines="100" w:after="312" w:line="440" w:lineRule="exact"/>
        <w:jc w:val="center"/>
        <w:rPr>
          <w:rFonts w:ascii="黑体" w:eastAsia="黑体" w:hint="eastAsia"/>
          <w:bCs/>
          <w:color w:val="000000"/>
          <w:sz w:val="28"/>
          <w:szCs w:val="28"/>
        </w:rPr>
      </w:pPr>
      <w:r>
        <w:rPr>
          <w:rFonts w:ascii="黑体" w:eastAsia="黑体" w:hAnsi="宋体" w:hint="eastAsia"/>
          <w:bCs/>
          <w:color w:val="000000"/>
          <w:sz w:val="28"/>
          <w:szCs w:val="28"/>
        </w:rPr>
        <w:t>第一章</w:t>
      </w:r>
      <w:r>
        <w:rPr>
          <w:rFonts w:ascii="黑体" w:eastAsia="黑体" w:hint="eastAsia"/>
          <w:bCs/>
          <w:color w:val="000000"/>
          <w:sz w:val="28"/>
          <w:szCs w:val="28"/>
        </w:rPr>
        <w:t xml:space="preserve">  </w:t>
      </w:r>
      <w:r>
        <w:rPr>
          <w:rFonts w:ascii="黑体" w:eastAsia="黑体" w:hAnsi="宋体" w:hint="eastAsia"/>
          <w:bCs/>
          <w:color w:val="000000"/>
          <w:sz w:val="28"/>
          <w:szCs w:val="28"/>
        </w:rPr>
        <w:t>总</w:t>
      </w:r>
      <w:r>
        <w:rPr>
          <w:rFonts w:ascii="黑体" w:eastAsia="黑体" w:hint="eastAsia"/>
          <w:bCs/>
          <w:color w:val="000000"/>
          <w:sz w:val="28"/>
          <w:szCs w:val="28"/>
        </w:rPr>
        <w:t xml:space="preserve"> </w:t>
      </w:r>
      <w:r>
        <w:rPr>
          <w:rFonts w:ascii="黑体" w:eastAsia="黑体" w:hAnsi="宋体" w:hint="eastAsia"/>
          <w:bCs/>
          <w:color w:val="000000"/>
          <w:sz w:val="28"/>
          <w:szCs w:val="28"/>
        </w:rPr>
        <w:t>则</w:t>
      </w:r>
    </w:p>
    <w:p w:rsidR="00656290" w:rsidRDefault="00656290" w:rsidP="00656290">
      <w:pPr>
        <w:spacing w:line="460" w:lineRule="exact"/>
        <w:ind w:firstLineChars="200" w:firstLine="480"/>
        <w:rPr>
          <w:bCs/>
          <w:color w:val="000000"/>
          <w:sz w:val="24"/>
        </w:rPr>
      </w:pPr>
      <w:r>
        <w:rPr>
          <w:rFonts w:hAnsi="宋体"/>
          <w:bCs/>
          <w:color w:val="000000"/>
          <w:sz w:val="24"/>
        </w:rPr>
        <w:t>第一条</w:t>
      </w:r>
      <w:r>
        <w:rPr>
          <w:bCs/>
          <w:color w:val="000000"/>
          <w:sz w:val="24"/>
        </w:rPr>
        <w:t xml:space="preserve">  </w:t>
      </w:r>
      <w:r>
        <w:rPr>
          <w:rFonts w:hAnsi="宋体"/>
          <w:bCs/>
          <w:color w:val="000000"/>
          <w:sz w:val="24"/>
        </w:rPr>
        <w:t>低值品、易耗品和材料是学校固定资产的组成部分，为加强我校低值品、易耗品和材料的科学管理，满足教学科研发展的需要，提高物资的经济效益，防止积压浪费和堵塞漏洞，根据教育部、财政部《高等学校材料、低值品、易耗品管理办法》，结合我校实际情况，特制订本办法。</w:t>
      </w:r>
    </w:p>
    <w:p w:rsidR="00656290" w:rsidRDefault="00656290" w:rsidP="00656290">
      <w:pPr>
        <w:spacing w:line="460" w:lineRule="exact"/>
        <w:ind w:firstLineChars="200" w:firstLine="480"/>
        <w:rPr>
          <w:bCs/>
          <w:color w:val="000000"/>
          <w:sz w:val="24"/>
        </w:rPr>
      </w:pPr>
      <w:r>
        <w:rPr>
          <w:rFonts w:hAnsi="宋体"/>
          <w:bCs/>
          <w:color w:val="000000"/>
          <w:sz w:val="24"/>
        </w:rPr>
        <w:t>第二条</w:t>
      </w:r>
      <w:r>
        <w:rPr>
          <w:bCs/>
          <w:color w:val="000000"/>
          <w:sz w:val="24"/>
        </w:rPr>
        <w:t xml:space="preserve">  </w:t>
      </w:r>
      <w:r>
        <w:rPr>
          <w:rFonts w:hAnsi="宋体"/>
          <w:bCs/>
          <w:color w:val="000000"/>
          <w:sz w:val="24"/>
        </w:rPr>
        <w:t>本着</w:t>
      </w:r>
      <w:r>
        <w:rPr>
          <w:bCs/>
          <w:color w:val="000000"/>
          <w:sz w:val="24"/>
        </w:rPr>
        <w:t>“</w:t>
      </w:r>
      <w:r>
        <w:rPr>
          <w:rFonts w:hAnsi="宋体"/>
          <w:bCs/>
          <w:color w:val="000000"/>
          <w:sz w:val="24"/>
        </w:rPr>
        <w:t>统一领导、分级管理、专人负责、合理节俭</w:t>
      </w:r>
      <w:r>
        <w:rPr>
          <w:bCs/>
          <w:color w:val="000000"/>
          <w:sz w:val="24"/>
        </w:rPr>
        <w:t>”</w:t>
      </w:r>
      <w:r>
        <w:rPr>
          <w:rFonts w:hAnsi="宋体"/>
          <w:bCs/>
          <w:color w:val="000000"/>
          <w:sz w:val="24"/>
        </w:rPr>
        <w:t>的原则，切实加强低值品、易耗品、材料的管理。</w:t>
      </w:r>
    </w:p>
    <w:p w:rsidR="00656290" w:rsidRDefault="00656290" w:rsidP="00656290">
      <w:pPr>
        <w:spacing w:line="460" w:lineRule="exact"/>
        <w:ind w:firstLineChars="200" w:firstLine="480"/>
        <w:rPr>
          <w:bCs/>
          <w:color w:val="000000"/>
          <w:sz w:val="24"/>
        </w:rPr>
      </w:pPr>
      <w:r>
        <w:rPr>
          <w:rFonts w:hAnsi="宋体"/>
          <w:bCs/>
          <w:color w:val="000000"/>
          <w:sz w:val="24"/>
        </w:rPr>
        <w:t>第三条</w:t>
      </w:r>
      <w:r>
        <w:rPr>
          <w:bCs/>
          <w:color w:val="000000"/>
          <w:sz w:val="24"/>
        </w:rPr>
        <w:t xml:space="preserve">  </w:t>
      </w:r>
      <w:r>
        <w:rPr>
          <w:rFonts w:hAnsi="宋体"/>
          <w:bCs/>
          <w:color w:val="000000"/>
          <w:sz w:val="24"/>
        </w:rPr>
        <w:t>学校的低值品、易耗品、材料管理实行两级管理，由实验室与设备管理处设专人统一管理，各学院、部处由本单位兼职资产管理人员负责管理。</w:t>
      </w:r>
    </w:p>
    <w:p w:rsidR="00656290" w:rsidRDefault="00656290" w:rsidP="00656290">
      <w:pPr>
        <w:spacing w:beforeLines="100" w:before="312" w:afterLines="100" w:after="312" w:line="460" w:lineRule="exact"/>
        <w:jc w:val="center"/>
        <w:rPr>
          <w:rFonts w:ascii="黑体" w:eastAsia="黑体" w:hAnsi="宋体"/>
          <w:bCs/>
          <w:color w:val="000000"/>
          <w:sz w:val="28"/>
          <w:szCs w:val="28"/>
        </w:rPr>
      </w:pPr>
      <w:r>
        <w:rPr>
          <w:rFonts w:ascii="黑体" w:eastAsia="黑体" w:hAnsi="宋体"/>
          <w:bCs/>
          <w:color w:val="000000"/>
          <w:sz w:val="28"/>
          <w:szCs w:val="28"/>
        </w:rPr>
        <w:t>第二章　管理范围及分类</w:t>
      </w:r>
    </w:p>
    <w:p w:rsidR="00656290" w:rsidRDefault="00656290" w:rsidP="00656290">
      <w:pPr>
        <w:spacing w:line="460" w:lineRule="exact"/>
        <w:ind w:firstLineChars="200" w:firstLine="480"/>
        <w:rPr>
          <w:bCs/>
          <w:color w:val="000000"/>
          <w:sz w:val="24"/>
        </w:rPr>
      </w:pPr>
      <w:r>
        <w:rPr>
          <w:rFonts w:hAnsi="宋体"/>
          <w:bCs/>
          <w:color w:val="000000"/>
          <w:sz w:val="24"/>
        </w:rPr>
        <w:t>第四条</w:t>
      </w:r>
      <w:r>
        <w:rPr>
          <w:bCs/>
          <w:color w:val="000000"/>
          <w:sz w:val="24"/>
        </w:rPr>
        <w:t xml:space="preserve">  </w:t>
      </w:r>
      <w:r>
        <w:rPr>
          <w:rFonts w:hAnsi="宋体"/>
          <w:bCs/>
          <w:color w:val="000000"/>
          <w:sz w:val="24"/>
        </w:rPr>
        <w:t>建账管理范围：</w:t>
      </w:r>
    </w:p>
    <w:p w:rsidR="00656290" w:rsidRDefault="00656290" w:rsidP="00656290">
      <w:pPr>
        <w:spacing w:line="460" w:lineRule="exact"/>
        <w:ind w:firstLineChars="200" w:firstLine="480"/>
        <w:rPr>
          <w:bCs/>
          <w:color w:val="000000"/>
          <w:sz w:val="24"/>
        </w:rPr>
      </w:pPr>
      <w:r>
        <w:rPr>
          <w:bCs/>
          <w:color w:val="000000"/>
          <w:sz w:val="24"/>
        </w:rPr>
        <w:t>1</w:t>
      </w:r>
      <w:r>
        <w:rPr>
          <w:rFonts w:hAnsi="宋体"/>
          <w:bCs/>
          <w:color w:val="000000"/>
          <w:sz w:val="24"/>
        </w:rPr>
        <w:t>、低值品：单价不满</w:t>
      </w:r>
      <w:r>
        <w:rPr>
          <w:bCs/>
          <w:color w:val="000000"/>
          <w:sz w:val="24"/>
        </w:rPr>
        <w:t>1000</w:t>
      </w:r>
      <w:r>
        <w:rPr>
          <w:rFonts w:hAnsi="宋体"/>
          <w:bCs/>
          <w:color w:val="000000"/>
          <w:sz w:val="24"/>
        </w:rPr>
        <w:t>元且在</w:t>
      </w:r>
      <w:r>
        <w:rPr>
          <w:rFonts w:hAnsi="宋体" w:hint="eastAsia"/>
          <w:bCs/>
          <w:color w:val="000000"/>
          <w:sz w:val="24"/>
        </w:rPr>
        <w:t>200</w:t>
      </w:r>
      <w:r>
        <w:rPr>
          <w:rFonts w:hAnsi="宋体"/>
          <w:bCs/>
          <w:color w:val="000000"/>
          <w:sz w:val="24"/>
        </w:rPr>
        <w:t>元（含）以上的，但耐用期在一年以上，并能单独使用的物品。部分价值在</w:t>
      </w:r>
      <w:r>
        <w:rPr>
          <w:bCs/>
          <w:color w:val="000000"/>
          <w:sz w:val="24"/>
        </w:rPr>
        <w:t>200</w:t>
      </w:r>
      <w:r>
        <w:rPr>
          <w:rFonts w:hAnsi="宋体"/>
          <w:bCs/>
          <w:color w:val="000000"/>
          <w:sz w:val="24"/>
        </w:rPr>
        <w:t>元以下，但属于公、民两用的物品，也纳入低值品管理范围：</w:t>
      </w:r>
    </w:p>
    <w:p w:rsidR="00656290" w:rsidRDefault="00656290" w:rsidP="00656290">
      <w:pPr>
        <w:spacing w:line="460" w:lineRule="exact"/>
        <w:ind w:firstLineChars="200" w:firstLine="480"/>
        <w:rPr>
          <w:bCs/>
          <w:color w:val="000000"/>
          <w:sz w:val="24"/>
        </w:rPr>
      </w:pPr>
      <w:r>
        <w:rPr>
          <w:rFonts w:hAnsi="宋体"/>
          <w:bCs/>
          <w:color w:val="000000"/>
          <w:sz w:val="24"/>
        </w:rPr>
        <w:t>（</w:t>
      </w:r>
      <w:r>
        <w:rPr>
          <w:bCs/>
          <w:color w:val="000000"/>
          <w:sz w:val="24"/>
        </w:rPr>
        <w:t>1</w:t>
      </w:r>
      <w:r>
        <w:rPr>
          <w:rFonts w:hAnsi="宋体"/>
          <w:bCs/>
          <w:color w:val="000000"/>
          <w:sz w:val="24"/>
        </w:rPr>
        <w:t>）低值仪器仪表和教具：录音机、照相器材（镜头、放大镜、曝光表、闪光灯等），万用表，计算器，望远镜，钟表（含秒表），电话机等。</w:t>
      </w:r>
    </w:p>
    <w:p w:rsidR="00656290" w:rsidRDefault="00656290" w:rsidP="00656290">
      <w:pPr>
        <w:spacing w:line="460" w:lineRule="exact"/>
        <w:ind w:firstLineChars="200" w:firstLine="480"/>
        <w:rPr>
          <w:bCs/>
          <w:color w:val="000000"/>
          <w:sz w:val="24"/>
        </w:rPr>
      </w:pPr>
      <w:r>
        <w:rPr>
          <w:rFonts w:hAnsi="宋体"/>
          <w:bCs/>
          <w:color w:val="000000"/>
          <w:sz w:val="24"/>
        </w:rPr>
        <w:t>（</w:t>
      </w:r>
      <w:r>
        <w:rPr>
          <w:bCs/>
          <w:color w:val="000000"/>
          <w:sz w:val="24"/>
        </w:rPr>
        <w:t>2</w:t>
      </w:r>
      <w:r>
        <w:rPr>
          <w:rFonts w:hAnsi="宋体"/>
          <w:bCs/>
          <w:color w:val="000000"/>
          <w:sz w:val="24"/>
        </w:rPr>
        <w:t>）机电类：电扇，电取暖器，电热水器，电熨斗，电吹风，打字机，成套工具，电动工具（如电钻等）。</w:t>
      </w:r>
    </w:p>
    <w:p w:rsidR="00656290" w:rsidRDefault="00656290" w:rsidP="00656290">
      <w:pPr>
        <w:spacing w:line="460" w:lineRule="exact"/>
        <w:ind w:firstLineChars="200" w:firstLine="480"/>
        <w:rPr>
          <w:bCs/>
          <w:color w:val="000000"/>
          <w:sz w:val="24"/>
        </w:rPr>
      </w:pPr>
      <w:r>
        <w:rPr>
          <w:rFonts w:hAnsi="宋体"/>
          <w:bCs/>
          <w:color w:val="000000"/>
          <w:sz w:val="24"/>
        </w:rPr>
        <w:t>（</w:t>
      </w:r>
      <w:r>
        <w:rPr>
          <w:bCs/>
          <w:color w:val="000000"/>
          <w:sz w:val="24"/>
        </w:rPr>
        <w:t>3</w:t>
      </w:r>
      <w:r>
        <w:rPr>
          <w:rFonts w:hAnsi="宋体"/>
          <w:bCs/>
          <w:color w:val="000000"/>
          <w:sz w:val="24"/>
        </w:rPr>
        <w:t>）其他：乐器，灯具，皮制箱包，密码箱，贵金属及其制品（金、银、铂等器具）等。</w:t>
      </w:r>
    </w:p>
    <w:p w:rsidR="00656290" w:rsidRDefault="00656290" w:rsidP="00656290">
      <w:pPr>
        <w:spacing w:line="460" w:lineRule="exact"/>
        <w:ind w:firstLineChars="200" w:firstLine="480"/>
        <w:rPr>
          <w:bCs/>
          <w:color w:val="000000"/>
          <w:sz w:val="24"/>
        </w:rPr>
      </w:pPr>
      <w:r>
        <w:rPr>
          <w:bCs/>
          <w:color w:val="000000"/>
          <w:sz w:val="24"/>
        </w:rPr>
        <w:t>2</w:t>
      </w:r>
      <w:r>
        <w:rPr>
          <w:rFonts w:hAnsi="宋体"/>
          <w:bCs/>
          <w:color w:val="000000"/>
          <w:sz w:val="24"/>
        </w:rPr>
        <w:t>、易耗品：耐用期低于一年，且不属于材料的物品。</w:t>
      </w:r>
    </w:p>
    <w:p w:rsidR="00656290" w:rsidRDefault="00656290" w:rsidP="00656290">
      <w:pPr>
        <w:spacing w:line="460" w:lineRule="exact"/>
        <w:ind w:firstLineChars="200" w:firstLine="480"/>
        <w:rPr>
          <w:bCs/>
          <w:color w:val="000000"/>
          <w:sz w:val="24"/>
        </w:rPr>
      </w:pPr>
      <w:r>
        <w:rPr>
          <w:bCs/>
          <w:color w:val="000000"/>
          <w:sz w:val="24"/>
        </w:rPr>
        <w:t>3</w:t>
      </w:r>
      <w:r>
        <w:rPr>
          <w:rFonts w:hAnsi="宋体"/>
          <w:bCs/>
          <w:color w:val="000000"/>
          <w:sz w:val="24"/>
        </w:rPr>
        <w:t>、材料：一次性使用就被消耗掉或改变其原物形态的物品。</w:t>
      </w:r>
    </w:p>
    <w:p w:rsidR="00656290" w:rsidRDefault="00656290" w:rsidP="00656290">
      <w:pPr>
        <w:spacing w:line="460" w:lineRule="exact"/>
        <w:ind w:firstLineChars="200" w:firstLine="464"/>
        <w:rPr>
          <w:bCs/>
          <w:color w:val="000000"/>
          <w:spacing w:val="-6"/>
          <w:sz w:val="24"/>
        </w:rPr>
      </w:pPr>
      <w:r>
        <w:rPr>
          <w:rFonts w:hAnsi="宋体"/>
          <w:bCs/>
          <w:color w:val="000000"/>
          <w:spacing w:val="-4"/>
          <w:sz w:val="24"/>
        </w:rPr>
        <w:t>第五条</w:t>
      </w:r>
      <w:r>
        <w:rPr>
          <w:bCs/>
          <w:color w:val="000000"/>
          <w:spacing w:val="-4"/>
          <w:sz w:val="24"/>
        </w:rPr>
        <w:t xml:space="preserve">  </w:t>
      </w:r>
      <w:r>
        <w:rPr>
          <w:rFonts w:hAnsi="宋体"/>
          <w:bCs/>
          <w:color w:val="000000"/>
          <w:spacing w:val="-6"/>
          <w:sz w:val="24"/>
        </w:rPr>
        <w:t>低值品、易耗品、材料分类按教育部分类目录（附后）划分，具体二级分类目录可由各学院、部处根据实际物品确定。</w:t>
      </w:r>
    </w:p>
    <w:p w:rsidR="00656290" w:rsidRDefault="00656290" w:rsidP="00656290">
      <w:pPr>
        <w:spacing w:beforeLines="100" w:before="312" w:afterLines="100" w:after="312" w:line="440" w:lineRule="exact"/>
        <w:jc w:val="center"/>
        <w:rPr>
          <w:rFonts w:ascii="黑体" w:eastAsia="黑体" w:hAnsi="宋体"/>
          <w:bCs/>
          <w:color w:val="000000"/>
          <w:sz w:val="28"/>
          <w:szCs w:val="28"/>
        </w:rPr>
      </w:pPr>
      <w:r>
        <w:rPr>
          <w:rFonts w:ascii="黑体" w:eastAsia="黑体" w:hAnsi="宋体"/>
          <w:bCs/>
          <w:color w:val="000000"/>
          <w:sz w:val="28"/>
          <w:szCs w:val="28"/>
        </w:rPr>
        <w:lastRenderedPageBreak/>
        <w:t>第三章  物品的购置</w:t>
      </w:r>
    </w:p>
    <w:p w:rsidR="00656290" w:rsidRDefault="00656290" w:rsidP="00656290">
      <w:pPr>
        <w:spacing w:line="440" w:lineRule="exact"/>
        <w:ind w:firstLineChars="200" w:firstLine="480"/>
        <w:rPr>
          <w:bCs/>
          <w:color w:val="000000"/>
          <w:sz w:val="24"/>
        </w:rPr>
      </w:pPr>
      <w:r>
        <w:rPr>
          <w:rFonts w:hAnsi="宋体"/>
          <w:bCs/>
          <w:color w:val="000000"/>
          <w:sz w:val="24"/>
        </w:rPr>
        <w:t>第六条</w:t>
      </w:r>
      <w:r>
        <w:rPr>
          <w:bCs/>
          <w:color w:val="000000"/>
          <w:sz w:val="24"/>
        </w:rPr>
        <w:t xml:space="preserve">  </w:t>
      </w:r>
      <w:r>
        <w:rPr>
          <w:rFonts w:hAnsi="宋体"/>
          <w:bCs/>
          <w:color w:val="000000"/>
          <w:sz w:val="24"/>
        </w:rPr>
        <w:t>低值品、易耗品、材料的购置必须切实加强计划性，严格审批手续，由专人按照政府采购管理规定及学校仪器设备采购相关管理办法执行采购，采购本着节省成本、价廉物美、急需急办的原则，不得谋私利。</w:t>
      </w:r>
    </w:p>
    <w:p w:rsidR="00656290" w:rsidRDefault="00656290" w:rsidP="00656290">
      <w:pPr>
        <w:spacing w:line="440" w:lineRule="exact"/>
        <w:ind w:firstLineChars="200" w:firstLine="480"/>
        <w:rPr>
          <w:bCs/>
          <w:color w:val="000000"/>
          <w:sz w:val="24"/>
        </w:rPr>
      </w:pPr>
      <w:r>
        <w:rPr>
          <w:rFonts w:hAnsi="宋体"/>
          <w:bCs/>
          <w:color w:val="000000"/>
          <w:sz w:val="24"/>
        </w:rPr>
        <w:t>第七条</w:t>
      </w:r>
      <w:r>
        <w:rPr>
          <w:bCs/>
          <w:color w:val="000000"/>
          <w:sz w:val="24"/>
        </w:rPr>
        <w:t xml:space="preserve">  </w:t>
      </w:r>
      <w:r>
        <w:rPr>
          <w:rFonts w:hAnsi="宋体"/>
          <w:bCs/>
          <w:color w:val="000000"/>
          <w:sz w:val="24"/>
        </w:rPr>
        <w:t>办公用纸、办公设备耗材（包括计算机用移动硬盘、可写光盘、优盘、软盘、刻录机、多媒体音箱、耳机、鼠标、键盘，以及打印、复印及传真设备用硒鼓、墨盒、墨粉、色带等耗材及配件）等属省本级集中采购目录中的内容，必须纳入政府集中采购。</w:t>
      </w:r>
    </w:p>
    <w:p w:rsidR="00656290" w:rsidRDefault="00656290" w:rsidP="00656290">
      <w:pPr>
        <w:spacing w:line="440" w:lineRule="exact"/>
        <w:ind w:firstLineChars="200" w:firstLine="480"/>
        <w:rPr>
          <w:bCs/>
          <w:color w:val="000000"/>
          <w:sz w:val="24"/>
        </w:rPr>
      </w:pPr>
      <w:r>
        <w:rPr>
          <w:rFonts w:hAnsi="宋体"/>
          <w:bCs/>
          <w:color w:val="000000"/>
          <w:sz w:val="24"/>
        </w:rPr>
        <w:t>第八条</w:t>
      </w:r>
      <w:r>
        <w:rPr>
          <w:bCs/>
          <w:color w:val="000000"/>
          <w:sz w:val="24"/>
        </w:rPr>
        <w:t xml:space="preserve">  </w:t>
      </w:r>
      <w:r>
        <w:rPr>
          <w:rFonts w:hAnsi="宋体"/>
          <w:bCs/>
          <w:color w:val="000000"/>
          <w:sz w:val="24"/>
        </w:rPr>
        <w:t>学校每年向政府集中采购机构报预算，实行统一采购，各学院、部处不得自行购买，用时到实验室与设备管理处领用。对特殊型号规格耗材，需填写《杭州电子科技大学办公设备耗材申请单》（实验室与设备管理处文档下载处下载）进入政府采购流程。</w:t>
      </w:r>
    </w:p>
    <w:p w:rsidR="00656290" w:rsidRDefault="00656290" w:rsidP="00656290">
      <w:pPr>
        <w:spacing w:line="440" w:lineRule="exact"/>
        <w:ind w:firstLineChars="200" w:firstLine="480"/>
        <w:rPr>
          <w:bCs/>
          <w:color w:val="000000"/>
          <w:sz w:val="24"/>
        </w:rPr>
      </w:pPr>
      <w:r>
        <w:rPr>
          <w:rFonts w:hAnsi="宋体"/>
          <w:bCs/>
          <w:color w:val="000000"/>
          <w:sz w:val="24"/>
        </w:rPr>
        <w:t>第九条</w:t>
      </w:r>
      <w:r>
        <w:rPr>
          <w:bCs/>
          <w:color w:val="000000"/>
          <w:sz w:val="24"/>
        </w:rPr>
        <w:t xml:space="preserve">  </w:t>
      </w:r>
      <w:r>
        <w:rPr>
          <w:rFonts w:hAnsi="宋体"/>
          <w:bCs/>
          <w:color w:val="000000"/>
          <w:sz w:val="24"/>
        </w:rPr>
        <w:t>低值品、易耗品和材料采购后，由专人负责审核及验收。验收合格后，填制有关物品账目方可办理报销手续。若发现问题应及时向有关单位提出退、换或赔偿。</w:t>
      </w:r>
    </w:p>
    <w:p w:rsidR="00656290" w:rsidRDefault="00656290" w:rsidP="00656290">
      <w:pPr>
        <w:spacing w:line="440" w:lineRule="exact"/>
        <w:rPr>
          <w:bCs/>
          <w:color w:val="000000"/>
          <w:sz w:val="24"/>
        </w:rPr>
      </w:pPr>
      <w:r>
        <w:rPr>
          <w:rFonts w:hAnsi="宋体"/>
          <w:bCs/>
          <w:color w:val="000000"/>
          <w:sz w:val="24"/>
        </w:rPr>
        <w:t>领用、经费结算</w:t>
      </w:r>
    </w:p>
    <w:p w:rsidR="00656290" w:rsidRDefault="00656290" w:rsidP="00656290">
      <w:pPr>
        <w:spacing w:line="440" w:lineRule="exact"/>
        <w:ind w:firstLineChars="200" w:firstLine="480"/>
        <w:rPr>
          <w:bCs/>
          <w:color w:val="000000"/>
          <w:sz w:val="24"/>
        </w:rPr>
      </w:pPr>
      <w:r>
        <w:rPr>
          <w:rFonts w:hAnsi="宋体"/>
          <w:bCs/>
          <w:color w:val="000000"/>
          <w:sz w:val="24"/>
        </w:rPr>
        <w:t>第十条</w:t>
      </w:r>
      <w:r>
        <w:rPr>
          <w:bCs/>
          <w:color w:val="000000"/>
          <w:sz w:val="24"/>
        </w:rPr>
        <w:t xml:space="preserve">  </w:t>
      </w:r>
      <w:r>
        <w:rPr>
          <w:rFonts w:hAnsi="宋体"/>
          <w:bCs/>
          <w:color w:val="000000"/>
          <w:sz w:val="24"/>
        </w:rPr>
        <w:t>低值品、易耗品和材料的领用，须由学校在职老师经部门行政办公经费主管领导同意，到实验室与设备管理处签字登记后即可领用。</w:t>
      </w:r>
    </w:p>
    <w:p w:rsidR="00656290" w:rsidRDefault="00656290" w:rsidP="00656290">
      <w:pPr>
        <w:spacing w:line="440" w:lineRule="exact"/>
        <w:ind w:firstLineChars="200" w:firstLine="480"/>
        <w:rPr>
          <w:bCs/>
          <w:color w:val="000000"/>
          <w:sz w:val="24"/>
        </w:rPr>
      </w:pPr>
      <w:r>
        <w:rPr>
          <w:rFonts w:hAnsi="宋体"/>
          <w:bCs/>
          <w:color w:val="000000"/>
          <w:sz w:val="24"/>
        </w:rPr>
        <w:t>第十一条</w:t>
      </w:r>
      <w:r>
        <w:rPr>
          <w:bCs/>
          <w:color w:val="000000"/>
          <w:sz w:val="24"/>
        </w:rPr>
        <w:t xml:space="preserve">  </w:t>
      </w:r>
      <w:r>
        <w:rPr>
          <w:rFonts w:hAnsi="宋体"/>
          <w:bCs/>
          <w:color w:val="000000"/>
          <w:sz w:val="24"/>
        </w:rPr>
        <w:t>从实验室与设备管理处领用的物品，由实验室与设备管理</w:t>
      </w:r>
      <w:proofErr w:type="gramStart"/>
      <w:r>
        <w:rPr>
          <w:rFonts w:hAnsi="宋体"/>
          <w:bCs/>
          <w:color w:val="000000"/>
          <w:sz w:val="24"/>
        </w:rPr>
        <w:t>处每年</w:t>
      </w:r>
      <w:proofErr w:type="gramEnd"/>
      <w:r>
        <w:rPr>
          <w:rFonts w:hAnsi="宋体"/>
          <w:bCs/>
          <w:color w:val="000000"/>
          <w:sz w:val="24"/>
        </w:rPr>
        <w:t>结算一次，一般于每年</w:t>
      </w:r>
      <w:r>
        <w:rPr>
          <w:bCs/>
          <w:color w:val="000000"/>
          <w:sz w:val="24"/>
        </w:rPr>
        <w:t>10</w:t>
      </w:r>
      <w:r>
        <w:rPr>
          <w:rFonts w:hAnsi="宋体"/>
          <w:bCs/>
          <w:color w:val="000000"/>
          <w:sz w:val="24"/>
        </w:rPr>
        <w:t>月份左右结算，之后领用的转到下年结账。</w:t>
      </w:r>
    </w:p>
    <w:p w:rsidR="00656290" w:rsidRDefault="00656290" w:rsidP="00656290">
      <w:pPr>
        <w:spacing w:beforeLines="100" w:before="312" w:afterLines="100" w:after="312" w:line="440" w:lineRule="exact"/>
        <w:jc w:val="center"/>
        <w:rPr>
          <w:rFonts w:ascii="黑体" w:eastAsia="黑体" w:hAnsi="宋体"/>
          <w:bCs/>
          <w:color w:val="000000"/>
          <w:sz w:val="28"/>
          <w:szCs w:val="28"/>
        </w:rPr>
      </w:pPr>
      <w:r>
        <w:rPr>
          <w:rFonts w:ascii="黑体" w:eastAsia="黑体" w:hAnsi="宋体"/>
          <w:bCs/>
          <w:color w:val="000000"/>
          <w:sz w:val="28"/>
          <w:szCs w:val="28"/>
        </w:rPr>
        <w:t>第</w:t>
      </w:r>
      <w:r>
        <w:rPr>
          <w:rFonts w:ascii="黑体" w:eastAsia="黑体" w:hAnsi="宋体" w:hint="eastAsia"/>
          <w:bCs/>
          <w:color w:val="000000"/>
          <w:sz w:val="28"/>
          <w:szCs w:val="28"/>
        </w:rPr>
        <w:t>四</w:t>
      </w:r>
      <w:r>
        <w:rPr>
          <w:rFonts w:ascii="黑体" w:eastAsia="黑体" w:hAnsi="宋体"/>
          <w:bCs/>
          <w:color w:val="000000"/>
          <w:sz w:val="28"/>
          <w:szCs w:val="28"/>
        </w:rPr>
        <w:t>章　日常管理</w:t>
      </w:r>
    </w:p>
    <w:p w:rsidR="00656290" w:rsidRDefault="00656290" w:rsidP="00656290">
      <w:pPr>
        <w:spacing w:line="440" w:lineRule="exact"/>
        <w:ind w:firstLineChars="200" w:firstLine="480"/>
        <w:rPr>
          <w:bCs/>
          <w:color w:val="000000"/>
          <w:sz w:val="24"/>
        </w:rPr>
      </w:pPr>
      <w:r>
        <w:rPr>
          <w:rFonts w:hAnsi="宋体"/>
          <w:bCs/>
          <w:color w:val="000000"/>
          <w:sz w:val="24"/>
        </w:rPr>
        <w:t>第十二条</w:t>
      </w:r>
      <w:r>
        <w:rPr>
          <w:bCs/>
          <w:color w:val="000000"/>
          <w:sz w:val="24"/>
        </w:rPr>
        <w:t xml:space="preserve">  </w:t>
      </w:r>
      <w:r>
        <w:rPr>
          <w:rFonts w:hAnsi="宋体"/>
          <w:bCs/>
          <w:color w:val="000000"/>
          <w:sz w:val="24"/>
        </w:rPr>
        <w:t>各学院、部处要建立低值品、易耗品和材料明细账，及时核对库存，做到账实相符。要严格规定低值品、易耗品和材料使用范围，严格领用登记，保管责任到人。同时要定期进行清查，保证账物相符，管理到位，合理使用。</w:t>
      </w:r>
    </w:p>
    <w:p w:rsidR="00656290" w:rsidRDefault="00656290" w:rsidP="00656290">
      <w:pPr>
        <w:spacing w:line="440" w:lineRule="exact"/>
        <w:ind w:firstLineChars="200" w:firstLine="480"/>
        <w:rPr>
          <w:bCs/>
          <w:color w:val="000000"/>
          <w:sz w:val="24"/>
        </w:rPr>
      </w:pPr>
      <w:r>
        <w:rPr>
          <w:rFonts w:hAnsi="宋体"/>
          <w:bCs/>
          <w:color w:val="000000"/>
          <w:sz w:val="24"/>
        </w:rPr>
        <w:t>第十三条</w:t>
      </w:r>
      <w:r>
        <w:rPr>
          <w:bCs/>
          <w:color w:val="000000"/>
          <w:sz w:val="24"/>
        </w:rPr>
        <w:t xml:space="preserve">  </w:t>
      </w:r>
      <w:r>
        <w:rPr>
          <w:rFonts w:hAnsi="宋体"/>
          <w:bCs/>
          <w:color w:val="000000"/>
          <w:sz w:val="24"/>
        </w:rPr>
        <w:t>实验室与设备管理处要加强对低值品、易耗品和材料的归口管理工作，定期对各学院、部处低值品、易耗品和材料的使用、保管情况进行检查。各学院、部处要在自查的基础上于每年年底之前，将其使用情况报实验室与设备管理处。</w:t>
      </w:r>
    </w:p>
    <w:p w:rsidR="00656290" w:rsidRDefault="00656290" w:rsidP="00656290">
      <w:pPr>
        <w:spacing w:line="440" w:lineRule="exact"/>
        <w:ind w:firstLineChars="200" w:firstLine="480"/>
        <w:rPr>
          <w:bCs/>
          <w:color w:val="000000"/>
          <w:sz w:val="24"/>
        </w:rPr>
      </w:pPr>
      <w:r>
        <w:rPr>
          <w:rFonts w:hAnsi="宋体"/>
          <w:bCs/>
          <w:color w:val="000000"/>
          <w:sz w:val="24"/>
        </w:rPr>
        <w:t>第十四条</w:t>
      </w:r>
      <w:r>
        <w:rPr>
          <w:bCs/>
          <w:color w:val="000000"/>
          <w:sz w:val="24"/>
        </w:rPr>
        <w:t xml:space="preserve">  </w:t>
      </w:r>
      <w:r>
        <w:rPr>
          <w:rFonts w:hAnsi="宋体"/>
          <w:bCs/>
          <w:color w:val="000000"/>
          <w:sz w:val="24"/>
        </w:rPr>
        <w:t>对易燃、易爆、剧毒、放射性及其他危险品要加强管理，指定专</w:t>
      </w:r>
      <w:r>
        <w:rPr>
          <w:rFonts w:hAnsi="宋体"/>
          <w:bCs/>
          <w:color w:val="000000"/>
          <w:sz w:val="24"/>
        </w:rPr>
        <w:lastRenderedPageBreak/>
        <w:t>人负责。要按照有关规定和要求专库存放。剧毒材料的使用过程要严格控制和监督，对环境会造成危害的废弃物必须按规定妥善处理，严禁随意抛弃。</w:t>
      </w:r>
    </w:p>
    <w:p w:rsidR="00656290" w:rsidRDefault="00656290" w:rsidP="00656290">
      <w:pPr>
        <w:spacing w:beforeLines="100" w:before="312" w:afterLines="100" w:after="312" w:line="440" w:lineRule="exact"/>
        <w:jc w:val="center"/>
        <w:rPr>
          <w:rFonts w:ascii="黑体" w:eastAsia="黑体" w:hAnsi="宋体"/>
          <w:bCs/>
          <w:color w:val="000000"/>
          <w:sz w:val="28"/>
          <w:szCs w:val="28"/>
        </w:rPr>
      </w:pPr>
      <w:r>
        <w:rPr>
          <w:rFonts w:ascii="黑体" w:eastAsia="黑体" w:hAnsi="宋体"/>
          <w:bCs/>
          <w:color w:val="000000"/>
          <w:sz w:val="28"/>
          <w:szCs w:val="28"/>
        </w:rPr>
        <w:t>第</w:t>
      </w:r>
      <w:r>
        <w:rPr>
          <w:rFonts w:ascii="黑体" w:eastAsia="黑体" w:hAnsi="宋体" w:hint="eastAsia"/>
          <w:bCs/>
          <w:color w:val="000000"/>
          <w:sz w:val="28"/>
          <w:szCs w:val="28"/>
        </w:rPr>
        <w:t>五</w:t>
      </w:r>
      <w:r>
        <w:rPr>
          <w:rFonts w:ascii="黑体" w:eastAsia="黑体" w:hAnsi="宋体"/>
          <w:bCs/>
          <w:color w:val="000000"/>
          <w:sz w:val="28"/>
          <w:szCs w:val="28"/>
        </w:rPr>
        <w:t>章　报损、报废、报失和调拨</w:t>
      </w:r>
    </w:p>
    <w:p w:rsidR="00656290" w:rsidRDefault="00656290" w:rsidP="00656290">
      <w:pPr>
        <w:spacing w:line="440" w:lineRule="exact"/>
        <w:ind w:firstLineChars="200" w:firstLine="480"/>
        <w:rPr>
          <w:bCs/>
          <w:color w:val="000000"/>
          <w:sz w:val="24"/>
        </w:rPr>
      </w:pPr>
      <w:r>
        <w:rPr>
          <w:rFonts w:hAnsi="宋体"/>
          <w:bCs/>
          <w:color w:val="000000"/>
          <w:sz w:val="24"/>
        </w:rPr>
        <w:t>第十五条</w:t>
      </w:r>
      <w:r>
        <w:rPr>
          <w:bCs/>
          <w:color w:val="000000"/>
          <w:sz w:val="24"/>
        </w:rPr>
        <w:t xml:space="preserve">  </w:t>
      </w:r>
      <w:r>
        <w:rPr>
          <w:rFonts w:hAnsi="宋体"/>
          <w:bCs/>
          <w:color w:val="000000"/>
          <w:sz w:val="24"/>
        </w:rPr>
        <w:t>在使用中正常消耗的材料和易耗品，由各学院、部处的使用人或资产管理员提出使用情况报告，经本单位负责人审批后，自行办理自然报损手续。</w:t>
      </w:r>
    </w:p>
    <w:p w:rsidR="00656290" w:rsidRDefault="00656290" w:rsidP="00656290">
      <w:pPr>
        <w:spacing w:line="440" w:lineRule="exact"/>
        <w:ind w:firstLineChars="200" w:firstLine="480"/>
        <w:rPr>
          <w:bCs/>
          <w:color w:val="000000"/>
          <w:sz w:val="24"/>
        </w:rPr>
      </w:pPr>
      <w:r>
        <w:rPr>
          <w:rFonts w:hAnsi="宋体"/>
          <w:bCs/>
          <w:color w:val="000000"/>
          <w:sz w:val="24"/>
        </w:rPr>
        <w:t>第十六条</w:t>
      </w:r>
      <w:r>
        <w:rPr>
          <w:bCs/>
          <w:color w:val="000000"/>
          <w:sz w:val="24"/>
        </w:rPr>
        <w:t xml:space="preserve">  </w:t>
      </w:r>
      <w:r>
        <w:rPr>
          <w:rFonts w:hAnsi="宋体"/>
          <w:bCs/>
          <w:color w:val="000000"/>
          <w:sz w:val="24"/>
        </w:rPr>
        <w:t>单价</w:t>
      </w:r>
      <w:r>
        <w:rPr>
          <w:bCs/>
          <w:color w:val="000000"/>
          <w:sz w:val="24"/>
        </w:rPr>
        <w:t>200</w:t>
      </w:r>
      <w:r>
        <w:rPr>
          <w:rFonts w:hAnsi="宋体"/>
          <w:bCs/>
          <w:color w:val="000000"/>
          <w:sz w:val="24"/>
        </w:rPr>
        <w:t>元以下的物品的报废，由各学院、部处的使用人或资产管理员填写报废清单，经本单位主管领导审核批准后办理报废手续，并从其物品账中销账。</w:t>
      </w:r>
    </w:p>
    <w:p w:rsidR="00656290" w:rsidRDefault="00656290" w:rsidP="00656290">
      <w:pPr>
        <w:spacing w:line="440" w:lineRule="exact"/>
        <w:ind w:firstLineChars="200" w:firstLine="480"/>
        <w:rPr>
          <w:bCs/>
          <w:color w:val="000000"/>
          <w:sz w:val="24"/>
        </w:rPr>
      </w:pPr>
      <w:r>
        <w:rPr>
          <w:rFonts w:hAnsi="宋体"/>
          <w:bCs/>
          <w:color w:val="000000"/>
          <w:sz w:val="24"/>
        </w:rPr>
        <w:t>第十七条</w:t>
      </w:r>
      <w:r>
        <w:rPr>
          <w:bCs/>
          <w:color w:val="000000"/>
          <w:sz w:val="24"/>
        </w:rPr>
        <w:t xml:space="preserve">  </w:t>
      </w:r>
      <w:r>
        <w:rPr>
          <w:rFonts w:hAnsi="宋体"/>
          <w:bCs/>
          <w:color w:val="000000"/>
          <w:sz w:val="24"/>
        </w:rPr>
        <w:t>单价</w:t>
      </w:r>
      <w:r>
        <w:rPr>
          <w:bCs/>
          <w:color w:val="000000"/>
          <w:sz w:val="24"/>
        </w:rPr>
        <w:t>200</w:t>
      </w:r>
      <w:r>
        <w:rPr>
          <w:rFonts w:hAnsi="宋体"/>
          <w:bCs/>
          <w:color w:val="000000"/>
          <w:sz w:val="24"/>
        </w:rPr>
        <w:t>元（含）以上、</w:t>
      </w:r>
      <w:r>
        <w:rPr>
          <w:bCs/>
          <w:color w:val="000000"/>
          <w:sz w:val="24"/>
        </w:rPr>
        <w:t>1000</w:t>
      </w:r>
      <w:r>
        <w:rPr>
          <w:rFonts w:hAnsi="宋体"/>
          <w:bCs/>
          <w:color w:val="000000"/>
          <w:sz w:val="24"/>
        </w:rPr>
        <w:t>元以下的物品的报废，由各学院、部处的资产管理员填写报废清单，经本单位负责人审核后，报实验室与设备管理处审批并销账。</w:t>
      </w:r>
    </w:p>
    <w:p w:rsidR="00656290" w:rsidRDefault="00656290" w:rsidP="00656290">
      <w:pPr>
        <w:spacing w:line="440" w:lineRule="exact"/>
        <w:ind w:firstLineChars="200" w:firstLine="480"/>
        <w:rPr>
          <w:bCs/>
          <w:color w:val="000000"/>
          <w:sz w:val="24"/>
        </w:rPr>
      </w:pPr>
      <w:r>
        <w:rPr>
          <w:rFonts w:hAnsi="宋体"/>
          <w:bCs/>
          <w:color w:val="000000"/>
          <w:sz w:val="24"/>
        </w:rPr>
        <w:t>第十八条</w:t>
      </w:r>
      <w:r>
        <w:rPr>
          <w:bCs/>
          <w:color w:val="000000"/>
          <w:sz w:val="24"/>
        </w:rPr>
        <w:t xml:space="preserve">  </w:t>
      </w:r>
      <w:r>
        <w:rPr>
          <w:rFonts w:hAnsi="宋体"/>
          <w:bCs/>
          <w:color w:val="000000"/>
          <w:sz w:val="24"/>
        </w:rPr>
        <w:t>批准报废的物品，由实验室与设备管理处统一处置，收回的残值上缴学校财务。各学院、部处不得自行处理报废物品。</w:t>
      </w:r>
    </w:p>
    <w:p w:rsidR="00656290" w:rsidRDefault="00656290" w:rsidP="00656290">
      <w:pPr>
        <w:spacing w:line="440" w:lineRule="exact"/>
        <w:ind w:firstLineChars="200" w:firstLine="480"/>
        <w:rPr>
          <w:bCs/>
          <w:color w:val="000000"/>
          <w:sz w:val="24"/>
        </w:rPr>
      </w:pPr>
      <w:r>
        <w:rPr>
          <w:rFonts w:hAnsi="宋体"/>
          <w:bCs/>
          <w:color w:val="000000"/>
          <w:sz w:val="24"/>
        </w:rPr>
        <w:t>第十九条</w:t>
      </w:r>
      <w:r>
        <w:rPr>
          <w:bCs/>
          <w:color w:val="000000"/>
          <w:sz w:val="24"/>
        </w:rPr>
        <w:t xml:space="preserve">  </w:t>
      </w:r>
      <w:r>
        <w:rPr>
          <w:rFonts w:hAnsi="宋体"/>
          <w:bCs/>
          <w:color w:val="000000"/>
          <w:sz w:val="24"/>
        </w:rPr>
        <w:t>因使用不当或保管不善而损坏或丢失物品的，由当事人提出书面报告，经本单位查明原因后，</w:t>
      </w:r>
      <w:proofErr w:type="gramStart"/>
      <w:r>
        <w:rPr>
          <w:rFonts w:hAnsi="宋体"/>
          <w:bCs/>
          <w:color w:val="000000"/>
          <w:sz w:val="24"/>
        </w:rPr>
        <w:t>视损失</w:t>
      </w:r>
      <w:proofErr w:type="gramEnd"/>
      <w:r>
        <w:rPr>
          <w:rFonts w:hAnsi="宋体"/>
          <w:bCs/>
          <w:color w:val="000000"/>
          <w:sz w:val="24"/>
        </w:rPr>
        <w:t>情况和情节轻重</w:t>
      </w:r>
      <w:proofErr w:type="gramStart"/>
      <w:r>
        <w:rPr>
          <w:rFonts w:hAnsi="宋体"/>
          <w:bCs/>
          <w:color w:val="000000"/>
          <w:sz w:val="24"/>
        </w:rPr>
        <w:t>作出</w:t>
      </w:r>
      <w:proofErr w:type="gramEnd"/>
      <w:r>
        <w:rPr>
          <w:rFonts w:hAnsi="宋体"/>
          <w:bCs/>
          <w:color w:val="000000"/>
          <w:sz w:val="24"/>
        </w:rPr>
        <w:t>经济赔偿或其他处理意见，报实验室与设备管理处核准后进行。赔款上缴学校财务。</w:t>
      </w:r>
    </w:p>
    <w:p w:rsidR="00656290" w:rsidRDefault="00656290" w:rsidP="00656290">
      <w:pPr>
        <w:spacing w:line="440" w:lineRule="exact"/>
        <w:ind w:firstLineChars="200" w:firstLine="480"/>
        <w:rPr>
          <w:bCs/>
          <w:color w:val="000000"/>
          <w:sz w:val="24"/>
        </w:rPr>
      </w:pPr>
      <w:r>
        <w:rPr>
          <w:rFonts w:hAnsi="宋体"/>
          <w:bCs/>
          <w:color w:val="000000"/>
          <w:sz w:val="24"/>
        </w:rPr>
        <w:t>第二十条</w:t>
      </w:r>
      <w:r>
        <w:rPr>
          <w:bCs/>
          <w:color w:val="000000"/>
          <w:sz w:val="24"/>
        </w:rPr>
        <w:t xml:space="preserve">  </w:t>
      </w:r>
      <w:r>
        <w:rPr>
          <w:rFonts w:hAnsi="宋体"/>
          <w:bCs/>
          <w:color w:val="000000"/>
          <w:sz w:val="24"/>
        </w:rPr>
        <w:t>物品的调拨：</w:t>
      </w:r>
    </w:p>
    <w:p w:rsidR="00656290" w:rsidRDefault="00656290" w:rsidP="00656290">
      <w:pPr>
        <w:spacing w:line="440" w:lineRule="exact"/>
        <w:rPr>
          <w:bCs/>
          <w:color w:val="000000"/>
          <w:sz w:val="24"/>
        </w:rPr>
      </w:pPr>
      <w:r>
        <w:rPr>
          <w:rFonts w:hAnsi="宋体"/>
          <w:bCs/>
          <w:color w:val="000000"/>
          <w:sz w:val="24"/>
        </w:rPr>
        <w:t xml:space="preserve">　　</w:t>
      </w:r>
      <w:r>
        <w:rPr>
          <w:bCs/>
          <w:color w:val="000000"/>
          <w:sz w:val="24"/>
        </w:rPr>
        <w:t>1</w:t>
      </w:r>
      <w:r>
        <w:rPr>
          <w:rFonts w:hAnsi="宋体"/>
          <w:bCs/>
          <w:color w:val="000000"/>
          <w:sz w:val="24"/>
        </w:rPr>
        <w:t>、校内各学院、部处之间的物品调拨，可凭物品调拨单办理，由双方单位主管领导审批，经实验室与设备管理处核准后，办理调拨和账务处理手续；</w:t>
      </w:r>
    </w:p>
    <w:p w:rsidR="00656290" w:rsidRDefault="00656290" w:rsidP="00656290">
      <w:pPr>
        <w:spacing w:line="440" w:lineRule="exact"/>
        <w:ind w:firstLineChars="200" w:firstLine="480"/>
        <w:rPr>
          <w:bCs/>
          <w:color w:val="000000"/>
          <w:sz w:val="24"/>
        </w:rPr>
      </w:pPr>
      <w:r>
        <w:rPr>
          <w:bCs/>
          <w:color w:val="000000"/>
          <w:sz w:val="24"/>
        </w:rPr>
        <w:t>2</w:t>
      </w:r>
      <w:r>
        <w:rPr>
          <w:rFonts w:hAnsi="宋体"/>
          <w:bCs/>
          <w:color w:val="000000"/>
          <w:sz w:val="24"/>
        </w:rPr>
        <w:t>、物品原则上不能调拨至校外单位，对确需调拨到校外单位的物品，除按校内调拨办法办理有关手续外，须报经实验室与设备管理处批准进行有偿调拨。有偿调拨物品的作价款上缴学校财务。</w:t>
      </w:r>
    </w:p>
    <w:p w:rsidR="00656290" w:rsidRDefault="00656290" w:rsidP="00656290">
      <w:pPr>
        <w:spacing w:beforeLines="100" w:before="312" w:afterLines="100" w:after="312" w:line="440" w:lineRule="exact"/>
        <w:jc w:val="center"/>
        <w:rPr>
          <w:rFonts w:ascii="黑体" w:eastAsia="黑体" w:hAnsi="宋体"/>
          <w:bCs/>
          <w:color w:val="000000"/>
          <w:sz w:val="28"/>
          <w:szCs w:val="28"/>
        </w:rPr>
      </w:pPr>
      <w:r>
        <w:rPr>
          <w:rFonts w:ascii="黑体" w:eastAsia="黑体" w:hAnsi="宋体"/>
          <w:bCs/>
          <w:color w:val="000000"/>
          <w:sz w:val="28"/>
          <w:szCs w:val="28"/>
        </w:rPr>
        <w:t>第六章　附 则</w:t>
      </w:r>
    </w:p>
    <w:p w:rsidR="00656290" w:rsidRDefault="00656290" w:rsidP="00656290">
      <w:pPr>
        <w:spacing w:line="440" w:lineRule="exact"/>
        <w:ind w:firstLineChars="200" w:firstLine="480"/>
        <w:rPr>
          <w:bCs/>
          <w:color w:val="000000"/>
          <w:sz w:val="24"/>
        </w:rPr>
      </w:pPr>
      <w:r>
        <w:rPr>
          <w:rFonts w:hAnsi="宋体"/>
          <w:bCs/>
          <w:color w:val="000000"/>
          <w:sz w:val="24"/>
        </w:rPr>
        <w:t>第二十一条</w:t>
      </w:r>
      <w:r>
        <w:rPr>
          <w:bCs/>
          <w:color w:val="000000"/>
          <w:sz w:val="24"/>
        </w:rPr>
        <w:t xml:space="preserve">  </w:t>
      </w:r>
      <w:r>
        <w:rPr>
          <w:rFonts w:hAnsi="宋体"/>
          <w:bCs/>
          <w:color w:val="000000"/>
          <w:sz w:val="24"/>
        </w:rPr>
        <w:t>本办法自下文之日起实施，由实验室与设备管理处负责解释。</w:t>
      </w:r>
      <w:proofErr w:type="gramStart"/>
      <w:r>
        <w:rPr>
          <w:rFonts w:hAnsi="宋体"/>
          <w:bCs/>
          <w:color w:val="000000"/>
          <w:sz w:val="24"/>
        </w:rPr>
        <w:t>原杭电实</w:t>
      </w:r>
      <w:proofErr w:type="gramEnd"/>
      <w:r>
        <w:rPr>
          <w:bCs/>
          <w:color w:val="000000"/>
          <w:sz w:val="24"/>
        </w:rPr>
        <w:t>[2011]263</w:t>
      </w:r>
      <w:r>
        <w:rPr>
          <w:rFonts w:hAnsi="宋体"/>
          <w:bCs/>
          <w:color w:val="000000"/>
          <w:sz w:val="24"/>
        </w:rPr>
        <w:t>号文件内的《杭州电子科技大学低值品、消耗品和材料管理办法》同时废止。</w:t>
      </w:r>
    </w:p>
    <w:p w:rsidR="00656290" w:rsidRDefault="00656290" w:rsidP="00656290">
      <w:pPr>
        <w:spacing w:line="440" w:lineRule="exact"/>
        <w:ind w:firstLineChars="200" w:firstLine="480"/>
        <w:rPr>
          <w:rFonts w:hAnsi="宋体"/>
          <w:bCs/>
          <w:color w:val="000000"/>
          <w:sz w:val="24"/>
        </w:rPr>
      </w:pPr>
      <w:r>
        <w:rPr>
          <w:rFonts w:hAnsi="宋体"/>
          <w:bCs/>
          <w:color w:val="000000"/>
          <w:sz w:val="24"/>
        </w:rPr>
        <w:t>附：《教育部低值品、材料、易耗品分类目录》</w:t>
      </w:r>
    </w:p>
    <w:p w:rsidR="00656290" w:rsidRDefault="00656290" w:rsidP="00656290">
      <w:pPr>
        <w:spacing w:line="440" w:lineRule="exact"/>
        <w:ind w:firstLineChars="200" w:firstLine="560"/>
        <w:jc w:val="right"/>
        <w:rPr>
          <w:rFonts w:ascii="仿宋_GB2312" w:eastAsia="仿宋_GB2312" w:hAnsi="仿宋_GB2312" w:cs="仿宋_GB2312" w:hint="eastAsia"/>
          <w:bCs/>
          <w:color w:val="000000"/>
          <w:sz w:val="28"/>
          <w:szCs w:val="28"/>
        </w:rPr>
      </w:pPr>
      <w:r>
        <w:rPr>
          <w:rFonts w:ascii="仿宋_GB2312" w:eastAsia="仿宋_GB2312" w:hAnsi="仿宋_GB2312" w:cs="仿宋_GB2312" w:hint="eastAsia"/>
          <w:bCs/>
          <w:color w:val="000000"/>
          <w:sz w:val="28"/>
          <w:szCs w:val="28"/>
        </w:rPr>
        <w:t xml:space="preserve">（2013年7月3日） </w:t>
      </w:r>
    </w:p>
    <w:p w:rsidR="00656290" w:rsidRDefault="00656290" w:rsidP="00656290">
      <w:pPr>
        <w:spacing w:line="600" w:lineRule="exact"/>
        <w:rPr>
          <w:rFonts w:ascii="仿宋_GB2312" w:eastAsia="仿宋_GB2312" w:hAnsi="宋体" w:hint="eastAsia"/>
          <w:bCs/>
          <w:color w:val="000000"/>
          <w:sz w:val="28"/>
          <w:szCs w:val="28"/>
        </w:rPr>
      </w:pPr>
      <w:r>
        <w:rPr>
          <w:rFonts w:ascii="仿宋_GB2312" w:eastAsia="仿宋_GB2312" w:hint="eastAsia"/>
          <w:bCs/>
          <w:color w:val="000000"/>
          <w:sz w:val="32"/>
          <w:szCs w:val="32"/>
        </w:rPr>
        <w:br w:type="page"/>
      </w:r>
      <w:r>
        <w:rPr>
          <w:rFonts w:ascii="仿宋_GB2312" w:eastAsia="仿宋_GB2312" w:hAnsi="宋体" w:hint="eastAsia"/>
          <w:bCs/>
          <w:color w:val="000000"/>
          <w:sz w:val="28"/>
          <w:szCs w:val="28"/>
        </w:rPr>
        <w:lastRenderedPageBreak/>
        <w:t>附：</w:t>
      </w:r>
    </w:p>
    <w:p w:rsidR="00656290" w:rsidRDefault="00656290" w:rsidP="00656290">
      <w:pPr>
        <w:spacing w:beforeLines="100" w:before="312" w:line="420" w:lineRule="exact"/>
        <w:jc w:val="center"/>
        <w:rPr>
          <w:rFonts w:ascii="黑体" w:eastAsia="黑体" w:hAnsi="黑体" w:cs="黑体" w:hint="eastAsia"/>
          <w:bCs/>
          <w:color w:val="000000"/>
          <w:spacing w:val="8"/>
          <w:kern w:val="0"/>
          <w:sz w:val="36"/>
          <w:szCs w:val="36"/>
        </w:rPr>
      </w:pPr>
      <w:r>
        <w:rPr>
          <w:rFonts w:ascii="黑体" w:eastAsia="黑体" w:hAnsi="黑体" w:cs="黑体" w:hint="eastAsia"/>
          <w:bCs/>
          <w:color w:val="000000"/>
          <w:spacing w:val="8"/>
          <w:kern w:val="0"/>
          <w:sz w:val="36"/>
          <w:szCs w:val="36"/>
        </w:rPr>
        <w:t>教育部低值品、材料、易耗品分类目录</w:t>
      </w:r>
    </w:p>
    <w:p w:rsidR="00656290" w:rsidRDefault="00656290" w:rsidP="00656290">
      <w:pPr>
        <w:spacing w:line="600" w:lineRule="exact"/>
        <w:jc w:val="center"/>
        <w:rPr>
          <w:rFonts w:ascii="方正小标宋简体" w:eastAsia="方正小标宋简体" w:hint="eastAsia"/>
          <w:bCs/>
          <w:color w:val="000000"/>
          <w:sz w:val="36"/>
          <w:szCs w:val="36"/>
        </w:rPr>
      </w:pPr>
    </w:p>
    <w:p w:rsidR="00656290" w:rsidRDefault="00656290" w:rsidP="00656290">
      <w:pPr>
        <w:spacing w:line="480" w:lineRule="exact"/>
        <w:rPr>
          <w:rFonts w:ascii="宋体" w:hAnsi="宋体" w:hint="eastAsia"/>
          <w:bCs/>
          <w:color w:val="000000"/>
          <w:sz w:val="24"/>
        </w:rPr>
      </w:pPr>
      <w:r>
        <w:rPr>
          <w:rFonts w:ascii="宋体" w:hAnsi="宋体" w:hint="eastAsia"/>
          <w:bCs/>
          <w:color w:val="000000"/>
          <w:sz w:val="24"/>
        </w:rPr>
        <w:t>一、低值品的一级分类目录</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1、低值仪器、仪表、教具；</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2、低值工具和量具；</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3、低值文艺、体育用品。</w:t>
      </w:r>
    </w:p>
    <w:p w:rsidR="00656290" w:rsidRDefault="00656290" w:rsidP="00656290">
      <w:pPr>
        <w:spacing w:line="480" w:lineRule="exact"/>
        <w:rPr>
          <w:rFonts w:ascii="宋体" w:hAnsi="宋体" w:hint="eastAsia"/>
          <w:bCs/>
          <w:color w:val="000000"/>
          <w:sz w:val="24"/>
        </w:rPr>
      </w:pPr>
      <w:r>
        <w:rPr>
          <w:rFonts w:ascii="宋体" w:hAnsi="宋体" w:hint="eastAsia"/>
          <w:bCs/>
          <w:color w:val="000000"/>
          <w:sz w:val="24"/>
        </w:rPr>
        <w:t>二、易耗品的一级分类目录</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1、玻璃仪器及器皿；</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2、各种元件、器件、零配件；</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3、实验用小动物；</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4、劳动保护用品；</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5、三类物资。</w:t>
      </w:r>
    </w:p>
    <w:p w:rsidR="00656290" w:rsidRDefault="00656290" w:rsidP="00656290">
      <w:pPr>
        <w:spacing w:line="480" w:lineRule="exact"/>
        <w:rPr>
          <w:rFonts w:ascii="宋体" w:hAnsi="宋体" w:hint="eastAsia"/>
          <w:bCs/>
          <w:color w:val="000000"/>
          <w:sz w:val="24"/>
        </w:rPr>
      </w:pPr>
      <w:r>
        <w:rPr>
          <w:rFonts w:ascii="宋体" w:hAnsi="宋体" w:hint="eastAsia"/>
          <w:bCs/>
          <w:color w:val="000000"/>
          <w:sz w:val="24"/>
        </w:rPr>
        <w:t>三、材料的一级分类目录</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1、黑色金属；</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2、有色金属、稀有金属；</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3、煤炭及石油产品；</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4、木材；</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5、水泥；</w:t>
      </w:r>
    </w:p>
    <w:p w:rsidR="00656290" w:rsidRDefault="00656290" w:rsidP="00656290">
      <w:pPr>
        <w:spacing w:line="480" w:lineRule="exact"/>
        <w:ind w:firstLineChars="200" w:firstLine="480"/>
        <w:rPr>
          <w:rFonts w:ascii="宋体" w:hAnsi="宋体" w:hint="eastAsia"/>
          <w:bCs/>
          <w:color w:val="000000"/>
          <w:sz w:val="24"/>
        </w:rPr>
      </w:pPr>
      <w:r>
        <w:rPr>
          <w:rFonts w:ascii="宋体" w:hAnsi="宋体" w:hint="eastAsia"/>
          <w:bCs/>
          <w:color w:val="000000"/>
          <w:sz w:val="24"/>
        </w:rPr>
        <w:t>6、化工原料及试剂；</w:t>
      </w:r>
    </w:p>
    <w:p w:rsidR="00656290" w:rsidRDefault="00656290" w:rsidP="00656290">
      <w:pPr>
        <w:spacing w:line="480" w:lineRule="exact"/>
        <w:ind w:firstLineChars="200" w:firstLine="480"/>
        <w:rPr>
          <w:rFonts w:ascii="宋体" w:hAnsi="宋体"/>
          <w:bCs/>
          <w:color w:val="000000"/>
          <w:sz w:val="24"/>
        </w:rPr>
      </w:pPr>
      <w:r>
        <w:rPr>
          <w:rFonts w:ascii="宋体" w:hAnsi="宋体" w:hint="eastAsia"/>
          <w:bCs/>
          <w:color w:val="000000"/>
          <w:sz w:val="24"/>
        </w:rPr>
        <w:t>7、建筑材料。</w:t>
      </w:r>
    </w:p>
    <w:p w:rsidR="00656290" w:rsidRDefault="00656290" w:rsidP="00656290">
      <w:pPr>
        <w:spacing w:line="480" w:lineRule="exact"/>
        <w:ind w:firstLineChars="200" w:firstLine="480"/>
        <w:rPr>
          <w:rFonts w:ascii="宋体" w:hAnsi="宋体"/>
          <w:bCs/>
          <w:color w:val="000000"/>
          <w:sz w:val="24"/>
        </w:rPr>
      </w:pPr>
    </w:p>
    <w:p w:rsidR="002C19B9" w:rsidRDefault="002C19B9">
      <w:bookmarkStart w:id="1" w:name="_GoBack"/>
      <w:bookmarkEnd w:id="1"/>
    </w:p>
    <w:sectPr w:rsidR="002C19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方正舒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90"/>
    <w:rsid w:val="002C19B9"/>
    <w:rsid w:val="00656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01CE8-F03E-4277-87E6-DDDAAF40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290"/>
    <w:pPr>
      <w:widowControl w:val="0"/>
      <w:jc w:val="both"/>
    </w:pPr>
    <w:rPr>
      <w:rFonts w:ascii="Calibri" w:eastAsia="宋体" w:hAnsi="Calibri" w:cs="Times New Roman"/>
      <w:szCs w:val="24"/>
    </w:rPr>
  </w:style>
  <w:style w:type="paragraph" w:styleId="1">
    <w:name w:val="heading 1"/>
    <w:basedOn w:val="a"/>
    <w:next w:val="a"/>
    <w:link w:val="10"/>
    <w:qFormat/>
    <w:rsid w:val="00656290"/>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656290"/>
    <w:rPr>
      <w:rFonts w:ascii="Calibri" w:eastAsia="仿宋_GB2312"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hdu</dc:creator>
  <cp:keywords/>
  <dc:description/>
  <cp:lastModifiedBy>hdu</cp:lastModifiedBy>
  <cp:revision>1</cp:revision>
  <dcterms:created xsi:type="dcterms:W3CDTF">2020-03-25T07:34:00Z</dcterms:created>
  <dcterms:modified xsi:type="dcterms:W3CDTF">2020-03-25T07:34:00Z</dcterms:modified>
</cp:coreProperties>
</file>